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B40014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B40014" w:rsidRDefault="00CB4D79" w:rsidP="001C59D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bookmarkStart w:id="0" w:name="_GoBack"/>
            <w:r>
              <w:rPr>
                <w:rFonts w:ascii="仿宋" w:eastAsia="仿宋" w:hAnsi="仿宋" w:hint="eastAsia"/>
                <w:bCs/>
                <w:szCs w:val="21"/>
              </w:rPr>
              <w:t>和动作频率的要求</w:t>
            </w:r>
            <w:r w:rsidRPr="001C59DC">
              <w:rPr>
                <w:rFonts w:ascii="仿宋" w:eastAsia="仿宋" w:hAnsi="仿宋" w:hint="eastAsia"/>
                <w:bCs/>
                <w:szCs w:val="21"/>
              </w:rPr>
              <w:t>教案</w:t>
            </w:r>
            <w:bookmarkEnd w:id="0"/>
          </w:p>
        </w:tc>
      </w:tr>
      <w:tr w:rsidR="00B40014">
        <w:trPr>
          <w:trHeight w:hRule="exact" w:val="415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B40014" w:rsidRDefault="00CB4D79">
            <w:pPr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和动作频率的要求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B40014" w:rsidRDefault="001C59D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38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B40014" w:rsidRDefault="00CB4D79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B40014" w:rsidRDefault="00CB4D7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B40014" w:rsidRDefault="00CB4D7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 AFL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和动作频率的要求。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 AFL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的配置，了解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 AFL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的原理框图。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AFL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的原理框图。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rPr>
          <w:trHeight w:hRule="exact" w:val="317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 xml:space="preserve"> AFL 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的配置。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rPr>
          <w:trHeight w:hRule="exact" w:val="1623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B40014">
        <w:trPr>
          <w:trHeight w:hRule="exact" w:val="715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rPr>
          <w:trHeight w:val="397"/>
        </w:trPr>
        <w:tc>
          <w:tcPr>
            <w:tcW w:w="1271" w:type="dxa"/>
            <w:vMerge w:val="restart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40014" w:rsidRDefault="00CB4D79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教法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：</w:t>
            </w:r>
            <w:r>
              <w:rPr>
                <w:rFonts w:ascii="仿宋" w:eastAsia="仿宋" w:hAnsi="仿宋" w:cs="仿宋" w:hint="eastAsia"/>
                <w:szCs w:val="21"/>
              </w:rPr>
              <w:t>1</w:t>
            </w:r>
            <w:r>
              <w:rPr>
                <w:rFonts w:ascii="仿宋" w:eastAsia="仿宋" w:hAnsi="仿宋" w:cs="仿宋" w:hint="eastAsia"/>
                <w:szCs w:val="21"/>
              </w:rPr>
              <w:t>、案例分析法</w:t>
            </w:r>
            <w:r>
              <w:rPr>
                <w:rFonts w:ascii="仿宋" w:eastAsia="仿宋" w:hAnsi="仿宋" w:cs="仿宋" w:hint="eastAsia"/>
                <w:szCs w:val="21"/>
              </w:rPr>
              <w:t>2</w:t>
            </w:r>
            <w:r>
              <w:rPr>
                <w:rFonts w:ascii="仿宋" w:eastAsia="仿宋" w:hAnsi="仿宋" w:cs="仿宋" w:hint="eastAsia"/>
                <w:szCs w:val="21"/>
              </w:rPr>
              <w:t>、演示教学法</w:t>
            </w:r>
            <w:r>
              <w:rPr>
                <w:rFonts w:ascii="仿宋" w:eastAsia="仿宋" w:hAnsi="仿宋" w:cs="仿宋" w:hint="eastAsia"/>
                <w:szCs w:val="21"/>
              </w:rPr>
              <w:t>3</w:t>
            </w:r>
            <w:r>
              <w:rPr>
                <w:rFonts w:ascii="仿宋" w:eastAsia="仿宋" w:hAnsi="仿宋" w:cs="仿宋" w:hint="eastAsia"/>
                <w:szCs w:val="21"/>
              </w:rPr>
              <w:t>、分组讨论法</w:t>
            </w:r>
            <w:r>
              <w:rPr>
                <w:rFonts w:ascii="仿宋" w:eastAsia="仿宋" w:hAnsi="仿宋" w:cs="仿宋" w:hint="eastAsia"/>
                <w:szCs w:val="21"/>
              </w:rPr>
              <w:t>4</w:t>
            </w:r>
            <w:r>
              <w:rPr>
                <w:rFonts w:ascii="仿宋" w:eastAsia="仿宋" w:hAnsi="仿宋" w:cs="仿宋" w:hint="eastAsia"/>
                <w:szCs w:val="21"/>
              </w:rPr>
              <w:t>、启发式教学法</w:t>
            </w:r>
            <w:r>
              <w:rPr>
                <w:rFonts w:ascii="仿宋" w:eastAsia="仿宋" w:hAnsi="仿宋" w:cs="仿宋" w:hint="eastAsia"/>
                <w:szCs w:val="21"/>
              </w:rPr>
              <w:t>5</w:t>
            </w:r>
            <w:r>
              <w:rPr>
                <w:rFonts w:ascii="仿宋" w:eastAsia="仿宋" w:hAnsi="仿宋" w:cs="仿宋" w:hint="eastAsia"/>
                <w:szCs w:val="21"/>
              </w:rPr>
              <w:t>、互动教学法</w:t>
            </w:r>
          </w:p>
        </w:tc>
      </w:tr>
      <w:tr w:rsidR="00B40014">
        <w:trPr>
          <w:trHeight w:val="397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B40014">
        <w:trPr>
          <w:trHeight w:val="575"/>
        </w:trPr>
        <w:tc>
          <w:tcPr>
            <w:tcW w:w="1271" w:type="dxa"/>
            <w:vMerge w:val="restart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B40014">
        <w:trPr>
          <w:trHeight w:val="5564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和动作频率的要求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和动作频率的要求文档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  <w:p w:rsidR="00B40014" w:rsidRDefault="00B40014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 w:hint="eastAsia"/>
                <w:bCs/>
                <w:szCs w:val="21"/>
              </w:rPr>
              <w:t>自主预习对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和动作频率的要求，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B40014"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堂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观看对</w:t>
            </w:r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装置和动作频率的要求视频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学生通过微知库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平台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观看相关视频，</w:t>
            </w:r>
            <w:r>
              <w:rPr>
                <w:rFonts w:ascii="仿宋" w:eastAsia="仿宋" w:hAnsi="仿宋"/>
                <w:bCs/>
                <w:szCs w:val="21"/>
              </w:rPr>
              <w:t>并根据自己情况通过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t>课堂笔记、学习心得、提问等方式与老师、同学互动。</w:t>
            </w:r>
          </w:p>
        </w:tc>
        <w:tc>
          <w:tcPr>
            <w:tcW w:w="1276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 w:cs="仿宋"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微知库平</w:t>
            </w:r>
            <w:r>
              <w:rPr>
                <w:rFonts w:ascii="仿宋" w:eastAsia="仿宋" w:hAnsi="仿宋" w:cs="仿宋" w:hint="eastAsia"/>
                <w:bCs/>
                <w:szCs w:val="21"/>
              </w:rPr>
              <w:lastRenderedPageBreak/>
              <w:t>台，互动教学</w:t>
            </w:r>
          </w:p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Cs w:val="21"/>
              </w:rPr>
              <w:t>、单独辅导、集中讲解</w:t>
            </w:r>
          </w:p>
        </w:tc>
      </w:tr>
      <w:tr w:rsidR="00B40014"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对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AFL</w:t>
            </w:r>
            <w:r>
              <w:rPr>
                <w:rFonts w:ascii="仿宋" w:eastAsia="仿宋" w:hAnsi="仿宋" w:hint="eastAsia"/>
                <w:bCs/>
                <w:szCs w:val="21"/>
              </w:rPr>
              <w:t>和动作频率的要求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</w:p>
        </w:tc>
        <w:tc>
          <w:tcPr>
            <w:tcW w:w="107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B40014" w:rsidRDefault="00B40014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B40014">
        <w:trPr>
          <w:trHeight w:val="1733"/>
        </w:trPr>
        <w:tc>
          <w:tcPr>
            <w:tcW w:w="1271" w:type="dxa"/>
            <w:vMerge/>
            <w:vAlign w:val="center"/>
          </w:tcPr>
          <w:p w:rsidR="00B40014" w:rsidRDefault="00B40014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B40014" w:rsidRDefault="00CB4D79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B40014">
        <w:trPr>
          <w:trHeight w:val="1816"/>
        </w:trPr>
        <w:tc>
          <w:tcPr>
            <w:tcW w:w="1271" w:type="dxa"/>
            <w:vAlign w:val="center"/>
          </w:tcPr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B40014" w:rsidRDefault="00CB4D79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B40014" w:rsidRDefault="00CB4D79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B40014" w:rsidRDefault="00B40014"/>
    <w:sectPr w:rsidR="00B40014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4D79" w:rsidRDefault="00CB4D79">
      <w:r>
        <w:separator/>
      </w:r>
    </w:p>
  </w:endnote>
  <w:endnote w:type="continuationSeparator" w:id="0">
    <w:p w:rsidR="00CB4D79" w:rsidRDefault="00CB4D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4D79" w:rsidRDefault="00CB4D79">
      <w:r>
        <w:separator/>
      </w:r>
    </w:p>
  </w:footnote>
  <w:footnote w:type="continuationSeparator" w:id="0">
    <w:p w:rsidR="00CB4D79" w:rsidRDefault="00CB4D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0014" w:rsidRDefault="00CB4D79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电力系统自动装置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1C59DC"/>
    <w:rsid w:val="00B40014"/>
    <w:rsid w:val="00CB4D79"/>
    <w:rsid w:val="026A5B47"/>
    <w:rsid w:val="1D3D0C8F"/>
    <w:rsid w:val="1EFB4C0E"/>
    <w:rsid w:val="201C6220"/>
    <w:rsid w:val="23DC2D1A"/>
    <w:rsid w:val="36C070CE"/>
    <w:rsid w:val="4D1055FA"/>
    <w:rsid w:val="4F9745E6"/>
    <w:rsid w:val="5CCD2589"/>
    <w:rsid w:val="6F906A69"/>
    <w:rsid w:val="6FC64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A825D3F-F9DD-4B61-A072-85AC071DE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